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7"/>
        <w:gridCol w:w="837"/>
        <w:gridCol w:w="1376"/>
        <w:gridCol w:w="1251"/>
        <w:gridCol w:w="1197"/>
        <w:gridCol w:w="1412"/>
        <w:gridCol w:w="1179"/>
        <w:gridCol w:w="1179"/>
        <w:gridCol w:w="1179"/>
        <w:gridCol w:w="1505"/>
        <w:gridCol w:w="1179"/>
        <w:gridCol w:w="1029"/>
      </w:tblGrid>
      <w:tr w:rsidR="00124314">
        <w:trPr>
          <w:cantSplit/>
          <w:tblHeader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>
            <w:pPr>
              <w:pStyle w:val="1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Oral triple-x (XXX) treatment compared to control for thrombophilia patients</w:t>
            </w:r>
          </w:p>
          <w:p w:rsidR="00124314" w:rsidRDefault="00E27D0B">
            <w:pPr>
              <w:jc w:val="center"/>
              <w:divId w:val="225068338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Bibliography: treatment XXX versus control for patients with thrombophilia. Cochrane Database of Systematic Reviews [Year], Issue [Issue].</w:t>
            </w:r>
          </w:p>
        </w:tc>
      </w:tr>
      <w:tr w:rsidR="00124314">
        <w:trPr>
          <w:cantSplit/>
          <w:tblHeader/>
        </w:trPr>
        <w:tc>
          <w:tcPr>
            <w:tcW w:w="4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hideMark/>
          </w:tcPr>
          <w:p w:rsidR="00124314" w:rsidRDefault="00E27D0B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Quality assessment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hideMark/>
          </w:tcPr>
          <w:p w:rsidR="00124314" w:rsidRDefault="00E27D0B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Summary of findings </w:t>
            </w:r>
          </w:p>
        </w:tc>
      </w:tr>
      <w:tr w:rsidR="00124314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24314" w:rsidRDefault="00E27D0B" w:rsidP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№ of participants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(studies)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24314" w:rsidRDefault="00E27D0B" w:rsidP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24314" w:rsidRDefault="00E27D0B" w:rsidP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24314" w:rsidRDefault="00E27D0B" w:rsidP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24314" w:rsidRDefault="00E27D0B" w:rsidP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24314" w:rsidRDefault="00E27D0B" w:rsidP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24314" w:rsidRDefault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Overall quality of evidence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24314" w:rsidRDefault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24314" w:rsidRDefault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Relative effect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124314" w:rsidRDefault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Anticipated absolute effects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24314" w:rsidRDefault="00124314">
            <w:pPr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With 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With oral triple-x (XXX) treatment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124314" w:rsidRDefault="00124314">
            <w:pPr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Risk with 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>
            <w:pPr>
              <w:pStyle w:val="Web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Risk difference with oral triple-x (XXX) treatment</w:t>
            </w:r>
          </w:p>
        </w:tc>
      </w:tr>
      <w:tr w:rsidR="00124314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 w:rsidP="00E27D0B">
            <w:pPr>
              <w:jc w:val="left"/>
              <w:divId w:val="1403412371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label"/>
                <w:rFonts w:ascii="Verdana" w:hAnsi="Verdana"/>
                <w:b/>
                <w:bCs/>
                <w:sz w:val="22"/>
              </w:rPr>
              <w:t>mortality (critical) (follow up: mean 12 months)</w:t>
            </w:r>
          </w:p>
        </w:tc>
      </w:tr>
      <w:tr w:rsidR="00124314">
        <w:trPr>
          <w:cantSplit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2798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(5 RCTs) 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none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MODERATE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363/1401 (25.9%)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346/1397 (24.8%)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block"/>
                <w:rFonts w:ascii="Verdana" w:hAnsi="Verdana"/>
                <w:b/>
                <w:bCs/>
                <w:sz w:val="16"/>
                <w:szCs w:val="16"/>
              </w:rPr>
              <w:t>RR 0.96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hAnsi="Verdana"/>
                <w:sz w:val="16"/>
                <w:szCs w:val="16"/>
              </w:rPr>
              <w:t>(0.85 to 1.09)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Study population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1061907713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259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10 fewer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(39 fewer to 23 more)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Low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1383940679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150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6 fewer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(23 fewer to 14 more)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High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1427459336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350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14 fewer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(53 fewer to 32 more)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 w:rsidP="00E27D0B">
            <w:pPr>
              <w:jc w:val="left"/>
              <w:divId w:val="1394427030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label"/>
                <w:rFonts w:ascii="Verdana" w:hAnsi="Verdana"/>
                <w:b/>
                <w:bCs/>
                <w:sz w:val="22"/>
              </w:rPr>
              <w:t>myocardial infarction (critical) (follow up: mean 12 months)</w:t>
            </w:r>
          </w:p>
        </w:tc>
      </w:tr>
      <w:tr w:rsidR="00124314">
        <w:trPr>
          <w:cantSplit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3182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(6 RCTs) 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none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⨁⨁⨁⨁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HIGH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457/1618 (28.2%)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349/1564 (22.3%)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block"/>
                <w:rFonts w:ascii="Verdana" w:hAnsi="Verdana"/>
                <w:b/>
                <w:bCs/>
                <w:sz w:val="16"/>
                <w:szCs w:val="16"/>
              </w:rPr>
              <w:t>RR 0.88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hAnsi="Verdana"/>
                <w:sz w:val="16"/>
                <w:szCs w:val="16"/>
              </w:rPr>
              <w:t>(0.79 to 0.99)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Study population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275526071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282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34 fewer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(59 fewer to 3 fewer)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Low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439182070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200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24 fewer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(42 fewer to 2 fewer)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 w:rsidP="00E27D0B">
            <w:pPr>
              <w:jc w:val="left"/>
              <w:divId w:val="231047095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label"/>
                <w:rFonts w:ascii="Verdana" w:hAnsi="Verdana"/>
                <w:b/>
                <w:bCs/>
                <w:sz w:val="22"/>
              </w:rPr>
              <w:lastRenderedPageBreak/>
              <w:t>symptomatic VTE (critical) (follow up: mean 12 months)</w:t>
            </w:r>
          </w:p>
        </w:tc>
      </w:tr>
      <w:tr w:rsidR="00124314">
        <w:trPr>
          <w:cantSplit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1129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(2 RCTs) 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very 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>
              <w:rPr>
                <w:rStyle w:val="comma"/>
                <w:rFonts w:ascii="Verdana" w:hAnsi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none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◯◯◯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VERY LOW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170/574 (29.6%)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147/555 (26.5%)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block"/>
                <w:rFonts w:ascii="Verdana" w:hAnsi="Verdana"/>
                <w:b/>
                <w:bCs/>
                <w:sz w:val="16"/>
                <w:szCs w:val="16"/>
              </w:rPr>
              <w:t>RR 0.89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hAnsi="Verdana"/>
                <w:sz w:val="16"/>
                <w:szCs w:val="16"/>
              </w:rPr>
              <w:t>(0.72 to 1.08)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Study population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179781513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296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33 fewer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(83 fewer to 24 more)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Low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2090036575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200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22 fewer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(56 fewer to 16 more)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High </w:t>
            </w:r>
          </w:p>
        </w:tc>
      </w:tr>
      <w:tr w:rsidR="0012431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314" w:rsidRDefault="00124314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477770272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400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44 fewer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(112 fewer to 32 more)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 w:rsidP="00E27D0B">
            <w:pPr>
              <w:jc w:val="left"/>
              <w:divId w:val="515850011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label"/>
                <w:rFonts w:ascii="Verdana" w:hAnsi="Verdana"/>
                <w:b/>
                <w:bCs/>
                <w:sz w:val="22"/>
              </w:rPr>
              <w:t>stroke (critical) (follow up: mean 12 months)</w:t>
            </w:r>
          </w:p>
        </w:tc>
      </w:tr>
      <w:tr w:rsidR="00124314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1723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(5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none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◯◯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LOW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135/862 (15.7%)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129/861 (15.0%)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block"/>
                <w:rFonts w:ascii="Verdana" w:hAnsi="Verdana"/>
                <w:b/>
                <w:bCs/>
                <w:sz w:val="16"/>
                <w:szCs w:val="16"/>
              </w:rPr>
              <w:t>RR 0.96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hAnsi="Verdana"/>
                <w:sz w:val="16"/>
                <w:szCs w:val="16"/>
              </w:rPr>
              <w:t>(0.77 to 1.19)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768085920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157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6 fewer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(36 fewer to 30 more)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 w:rsidP="00E27D0B">
            <w:pPr>
              <w:jc w:val="left"/>
              <w:divId w:val="1907229024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label"/>
                <w:rFonts w:ascii="Verdana" w:hAnsi="Verdana"/>
                <w:b/>
                <w:bCs/>
                <w:sz w:val="22"/>
              </w:rPr>
              <w:t>major bleeding (critical) (follow up: mean 12 months)</w:t>
            </w:r>
          </w:p>
        </w:tc>
      </w:tr>
      <w:tr w:rsidR="00124314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1010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(3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very 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5</w:t>
            </w:r>
            <w:r>
              <w:rPr>
                <w:rStyle w:val="comma"/>
                <w:rFonts w:ascii="Verdana" w:hAnsi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none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◯◯◯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VERY LOW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52/505 (10.3%)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57/505 (11.3%)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block"/>
                <w:rFonts w:ascii="Verdana" w:hAnsi="Verdana"/>
                <w:b/>
                <w:bCs/>
                <w:sz w:val="16"/>
                <w:szCs w:val="16"/>
              </w:rPr>
              <w:t>RR 1.05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hAnsi="Verdana"/>
                <w:sz w:val="16"/>
                <w:szCs w:val="16"/>
              </w:rPr>
              <w:t>(0.74 to 1.51)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1524130114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103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5 more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(27 fewer to 53 more)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 w:rsidP="00E27D0B">
            <w:pPr>
              <w:jc w:val="left"/>
              <w:divId w:val="1319723387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label"/>
                <w:rFonts w:ascii="Verdana" w:hAnsi="Verdana"/>
                <w:b/>
                <w:bCs/>
                <w:sz w:val="22"/>
              </w:rPr>
              <w:t>non-ulcer dyspepsia (critical) (follow up: mean 12 months)</w:t>
            </w:r>
          </w:p>
        </w:tc>
      </w:tr>
      <w:tr w:rsidR="00124314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4611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(5 observational studies)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none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◯◯◯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VERY LOW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70/2308 (3.0%)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118/2303 (5.1%)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block"/>
                <w:rFonts w:ascii="Verdana" w:hAnsi="Verdana"/>
                <w:b/>
                <w:bCs/>
                <w:sz w:val="16"/>
                <w:szCs w:val="16"/>
              </w:rPr>
              <w:t>RR 1.66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hAnsi="Verdana"/>
                <w:sz w:val="16"/>
                <w:szCs w:val="16"/>
              </w:rPr>
              <w:t>(1.19 to 2.31)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1433356893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30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20 more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(6 more to 40 more)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>
            <w:pPr>
              <w:divId w:val="1805611921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label"/>
                <w:rFonts w:ascii="Verdana" w:hAnsi="Verdana"/>
                <w:b/>
                <w:bCs/>
                <w:sz w:val="22"/>
              </w:rPr>
              <w:t>minor bleeding (important) (follow up: mean 12 months)</w:t>
            </w:r>
          </w:p>
        </w:tc>
      </w:tr>
      <w:tr w:rsidR="00124314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1204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(2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none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◯◯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LOW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40/603 (6.6%)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96/601 (16.0%)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block"/>
                <w:rFonts w:ascii="Verdana" w:hAnsi="Verdana"/>
                <w:b/>
                <w:bCs/>
                <w:sz w:val="16"/>
                <w:szCs w:val="16"/>
              </w:rPr>
              <w:t>RR 2.56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hAnsi="Verdana"/>
                <w:sz w:val="16"/>
                <w:szCs w:val="16"/>
              </w:rPr>
              <w:t>(1.33 to 4.92)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1731491070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66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103 more per 1,000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(22 more to 260 more)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24314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124314" w:rsidRDefault="00E27D0B">
            <w:pPr>
              <w:divId w:val="1895191577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label"/>
                <w:rFonts w:ascii="Verdana" w:hAnsi="Verdana"/>
                <w:b/>
                <w:bCs/>
                <w:sz w:val="22"/>
              </w:rPr>
              <w:t>thrombosis related pain (follow up: mean 30 days; assessed with: 10-pt visual analog scale (VAS); Scale from: 0 to 10)</w:t>
            </w:r>
          </w:p>
        </w:tc>
      </w:tr>
      <w:tr w:rsidR="00124314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561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(3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serious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none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MODERATE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268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293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"/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divId w:val="1720402268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sz w:val="16"/>
                <w:szCs w:val="16"/>
              </w:rPr>
              <w:t xml:space="preserve">The mean thrombosis related pain was </w:t>
            </w: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2.905</w:t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 xml:space="preserve"> point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314" w:rsidRDefault="00E27D0B" w:rsidP="00E27D0B">
            <w:pPr>
              <w:jc w:val="left"/>
              <w:rPr>
                <w:rFonts w:ascii="Verdana" w:eastAsia="ＭＳ Ｐゴシック" w:hAnsi="Verdana" w:cs="ＭＳ Ｐゴシック"/>
                <w:sz w:val="16"/>
                <w:szCs w:val="16"/>
              </w:rPr>
            </w:pPr>
            <w:r>
              <w:rPr>
                <w:rStyle w:val="cell-value"/>
                <w:rFonts w:ascii="Verdana" w:hAnsi="Verdana"/>
                <w:sz w:val="16"/>
                <w:szCs w:val="16"/>
              </w:rPr>
              <w:t xml:space="preserve">MD </w:t>
            </w:r>
            <w:r>
              <w:rPr>
                <w:rStyle w:val="cell-value"/>
                <w:rFonts w:ascii="Verdana" w:hAnsi="Verdana"/>
                <w:b/>
                <w:bCs/>
                <w:sz w:val="16"/>
                <w:szCs w:val="16"/>
              </w:rPr>
              <w:t>0.4 point lower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hAnsi="Verdana"/>
                <w:sz w:val="16"/>
                <w:szCs w:val="16"/>
              </w:rPr>
              <w:t>(0.76 lower to 0.03 lower)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11</w:t>
            </w:r>
          </w:p>
        </w:tc>
      </w:tr>
    </w:tbl>
    <w:p w:rsidR="00124314" w:rsidRDefault="00E27D0B">
      <w:pPr>
        <w:pStyle w:val="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CI:</w:t>
      </w:r>
      <w:r>
        <w:rPr>
          <w:rFonts w:ascii="Verdana" w:hAnsi="Verdana"/>
          <w:color w:val="000000"/>
          <w:sz w:val="16"/>
          <w:szCs w:val="16"/>
        </w:rPr>
        <w:t xml:space="preserve"> Confidence interval; </w:t>
      </w:r>
      <w:r>
        <w:rPr>
          <w:rFonts w:ascii="Verdana" w:hAnsi="Verdana"/>
          <w:b/>
          <w:bCs/>
          <w:color w:val="000000"/>
          <w:sz w:val="16"/>
          <w:szCs w:val="16"/>
        </w:rPr>
        <w:t>RR:</w:t>
      </w:r>
      <w:r>
        <w:rPr>
          <w:rFonts w:ascii="Verdana" w:hAnsi="Verdana"/>
          <w:color w:val="000000"/>
          <w:sz w:val="16"/>
          <w:szCs w:val="16"/>
        </w:rPr>
        <w:t xml:space="preserve"> Risk ratio; </w:t>
      </w:r>
      <w:r>
        <w:rPr>
          <w:rFonts w:ascii="Verdana" w:hAnsi="Verdana"/>
          <w:b/>
          <w:bCs/>
          <w:color w:val="000000"/>
          <w:sz w:val="16"/>
          <w:szCs w:val="16"/>
        </w:rPr>
        <w:t>MD:</w:t>
      </w:r>
      <w:r>
        <w:rPr>
          <w:rFonts w:ascii="Verdana" w:hAnsi="Verdana"/>
          <w:color w:val="000000"/>
          <w:sz w:val="16"/>
          <w:szCs w:val="16"/>
        </w:rPr>
        <w:t xml:space="preserve"> Mean difference</w:t>
      </w:r>
    </w:p>
    <w:p w:rsidR="00124314" w:rsidRDefault="00E27D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ランダム割り付け、割り付けの隠蔽に深刻な限界がある（選択バイアス）</w:t>
      </w:r>
    </w:p>
    <w:p w:rsidR="00124314" w:rsidRDefault="00E27D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メタアナリシスに含められた研究は</w:t>
      </w:r>
      <w:r>
        <w:rPr>
          <w:rFonts w:ascii="Verdana" w:hAnsi="Verdana"/>
          <w:color w:val="000000"/>
          <w:sz w:val="16"/>
          <w:szCs w:val="16"/>
        </w:rPr>
        <w:t>10</w:t>
      </w:r>
      <w:r>
        <w:rPr>
          <w:rFonts w:ascii="Verdana" w:hAnsi="Verdana"/>
          <w:color w:val="000000"/>
          <w:sz w:val="16"/>
          <w:szCs w:val="16"/>
        </w:rPr>
        <w:t>件未満であり、出版バイアス評価のためのファンネルプロットは作成できない</w:t>
      </w:r>
    </w:p>
    <w:p w:rsidR="00124314" w:rsidRDefault="00E27D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アウトカムの評価法が不確かである</w:t>
      </w:r>
    </w:p>
    <w:p w:rsidR="00124314" w:rsidRDefault="00E27D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信頼区間は、</w:t>
      </w:r>
      <w:r>
        <w:rPr>
          <w:rFonts w:ascii="Verdana" w:hAnsi="Verdana"/>
          <w:color w:val="000000"/>
          <w:sz w:val="16"/>
          <w:szCs w:val="16"/>
        </w:rPr>
        <w:t>”</w:t>
      </w:r>
      <w:r>
        <w:rPr>
          <w:rFonts w:ascii="Verdana" w:hAnsi="Verdana"/>
          <w:color w:val="000000"/>
          <w:sz w:val="16"/>
          <w:szCs w:val="16"/>
        </w:rPr>
        <w:t>効果なし</w:t>
      </w:r>
      <w:r>
        <w:rPr>
          <w:rFonts w:ascii="Verdana" w:hAnsi="Verdana"/>
          <w:color w:val="000000"/>
          <w:sz w:val="16"/>
          <w:szCs w:val="16"/>
        </w:rPr>
        <w:t>”</w:t>
      </w:r>
      <w:r>
        <w:rPr>
          <w:rFonts w:ascii="Verdana" w:hAnsi="Verdana"/>
          <w:color w:val="000000"/>
          <w:sz w:val="16"/>
          <w:szCs w:val="16"/>
        </w:rPr>
        <w:t>と</w:t>
      </w:r>
      <w:r>
        <w:rPr>
          <w:rFonts w:ascii="Verdana" w:hAnsi="Verdana"/>
          <w:color w:val="000000"/>
          <w:sz w:val="16"/>
          <w:szCs w:val="16"/>
        </w:rPr>
        <w:t>””</w:t>
      </w:r>
      <w:r>
        <w:rPr>
          <w:rFonts w:ascii="Verdana" w:hAnsi="Verdana"/>
          <w:color w:val="000000"/>
          <w:sz w:val="16"/>
          <w:szCs w:val="16"/>
        </w:rPr>
        <w:t>相当な利益</w:t>
      </w:r>
      <w:r>
        <w:rPr>
          <w:rFonts w:ascii="Verdana" w:hAnsi="Verdana"/>
          <w:color w:val="000000"/>
          <w:sz w:val="16"/>
          <w:szCs w:val="16"/>
        </w:rPr>
        <w:t>”</w:t>
      </w:r>
      <w:r>
        <w:rPr>
          <w:rFonts w:ascii="Verdana" w:hAnsi="Verdana"/>
          <w:color w:val="000000"/>
          <w:sz w:val="16"/>
          <w:szCs w:val="16"/>
        </w:rPr>
        <w:t>の双方を含んでいる</w:t>
      </w:r>
    </w:p>
    <w:p w:rsidR="00124314" w:rsidRDefault="00E27D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サンプルサイズが</w:t>
      </w:r>
      <w:r>
        <w:rPr>
          <w:rFonts w:ascii="Verdana" w:hAnsi="Verdana"/>
          <w:color w:val="000000"/>
          <w:sz w:val="16"/>
          <w:szCs w:val="16"/>
        </w:rPr>
        <w:t>OIS</w:t>
      </w:r>
      <w:r>
        <w:rPr>
          <w:rFonts w:ascii="Verdana" w:hAnsi="Verdana"/>
          <w:color w:val="000000"/>
          <w:sz w:val="16"/>
          <w:szCs w:val="16"/>
        </w:rPr>
        <w:t>（</w:t>
      </w:r>
      <w:r>
        <w:rPr>
          <w:rFonts w:ascii="Verdana" w:hAnsi="Verdana"/>
          <w:color w:val="000000"/>
          <w:sz w:val="16"/>
          <w:szCs w:val="16"/>
        </w:rPr>
        <w:t>α0.05</w:t>
      </w:r>
      <w:r>
        <w:rPr>
          <w:rFonts w:ascii="Verdana" w:hAnsi="Verdana"/>
          <w:color w:val="000000"/>
          <w:sz w:val="16"/>
          <w:szCs w:val="16"/>
        </w:rPr>
        <w:t>、</w:t>
      </w:r>
      <w:r>
        <w:rPr>
          <w:rFonts w:ascii="Verdana" w:hAnsi="Verdana"/>
          <w:color w:val="000000"/>
          <w:sz w:val="16"/>
          <w:szCs w:val="16"/>
        </w:rPr>
        <w:t>β0.2</w:t>
      </w:r>
      <w:r>
        <w:rPr>
          <w:rFonts w:ascii="Verdana" w:hAnsi="Verdana"/>
          <w:color w:val="000000"/>
          <w:sz w:val="16"/>
          <w:szCs w:val="16"/>
        </w:rPr>
        <w:t>、</w:t>
      </w:r>
      <w:r>
        <w:rPr>
          <w:rFonts w:ascii="Verdana" w:hAnsi="Verdana"/>
          <w:color w:val="000000"/>
          <w:sz w:val="16"/>
          <w:szCs w:val="16"/>
        </w:rPr>
        <w:t>RRR=0.25</w:t>
      </w:r>
      <w:r>
        <w:rPr>
          <w:rFonts w:ascii="Verdana" w:hAnsi="Verdana"/>
          <w:color w:val="000000"/>
          <w:sz w:val="16"/>
          <w:szCs w:val="16"/>
        </w:rPr>
        <w:t>）より少ない</w:t>
      </w:r>
    </w:p>
    <w:p w:rsidR="00124314" w:rsidRDefault="00E27D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CI</w:t>
      </w:r>
      <w:r>
        <w:rPr>
          <w:rFonts w:ascii="Verdana" w:hAnsi="Verdana"/>
          <w:color w:val="000000"/>
          <w:sz w:val="16"/>
          <w:szCs w:val="16"/>
        </w:rPr>
        <w:t>が</w:t>
      </w:r>
      <w:r>
        <w:rPr>
          <w:rFonts w:ascii="Verdana" w:hAnsi="Verdana"/>
          <w:color w:val="000000"/>
          <w:sz w:val="16"/>
          <w:szCs w:val="16"/>
        </w:rPr>
        <w:t>”</w:t>
      </w:r>
      <w:r>
        <w:rPr>
          <w:rFonts w:ascii="Verdana" w:hAnsi="Verdana"/>
          <w:color w:val="000000"/>
          <w:sz w:val="16"/>
          <w:szCs w:val="16"/>
        </w:rPr>
        <w:t>効果なし</w:t>
      </w:r>
      <w:r>
        <w:rPr>
          <w:rFonts w:ascii="Verdana" w:hAnsi="Verdana"/>
          <w:color w:val="000000"/>
          <w:sz w:val="16"/>
          <w:szCs w:val="16"/>
        </w:rPr>
        <w:t>”</w:t>
      </w:r>
      <w:r>
        <w:rPr>
          <w:rFonts w:ascii="Verdana" w:hAnsi="Verdana"/>
          <w:color w:val="000000"/>
          <w:sz w:val="16"/>
          <w:szCs w:val="16"/>
        </w:rPr>
        <w:t>と</w:t>
      </w:r>
      <w:r>
        <w:rPr>
          <w:rFonts w:ascii="Verdana" w:hAnsi="Verdana"/>
          <w:color w:val="000000"/>
          <w:sz w:val="16"/>
          <w:szCs w:val="16"/>
        </w:rPr>
        <w:t>”</w:t>
      </w:r>
      <w:r>
        <w:rPr>
          <w:rFonts w:ascii="Verdana" w:hAnsi="Verdana"/>
          <w:color w:val="000000"/>
          <w:sz w:val="16"/>
          <w:szCs w:val="16"/>
        </w:rPr>
        <w:t>相当な害</w:t>
      </w:r>
      <w:r>
        <w:rPr>
          <w:rFonts w:ascii="Verdana" w:hAnsi="Verdana"/>
          <w:color w:val="000000"/>
          <w:sz w:val="16"/>
          <w:szCs w:val="16"/>
        </w:rPr>
        <w:t>”</w:t>
      </w:r>
      <w:r>
        <w:rPr>
          <w:rFonts w:ascii="Verdana" w:hAnsi="Verdana"/>
          <w:color w:val="000000"/>
          <w:sz w:val="16"/>
          <w:szCs w:val="16"/>
        </w:rPr>
        <w:t>の双方を含んでいる</w:t>
      </w:r>
    </w:p>
    <w:p w:rsidR="00124314" w:rsidRDefault="00E27D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アウトカムの測定が不確かである（上部消化管内視鏡の実施率はわずかに</w:t>
      </w:r>
      <w:r>
        <w:rPr>
          <w:rFonts w:ascii="Verdana" w:hAnsi="Verdana"/>
          <w:color w:val="000000"/>
          <w:sz w:val="16"/>
          <w:szCs w:val="16"/>
        </w:rPr>
        <w:t>20%</w:t>
      </w:r>
      <w:r>
        <w:rPr>
          <w:rFonts w:ascii="Verdana" w:hAnsi="Verdana"/>
          <w:color w:val="000000"/>
          <w:sz w:val="16"/>
          <w:szCs w:val="16"/>
        </w:rPr>
        <w:t>）</w:t>
      </w:r>
    </w:p>
    <w:p w:rsidR="00124314" w:rsidRDefault="00E27D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かなりの異質性があるが</w:t>
      </w:r>
      <w:r>
        <w:rPr>
          <w:rFonts w:ascii="Verdana" w:hAnsi="Verdana"/>
          <w:color w:val="000000"/>
          <w:sz w:val="16"/>
          <w:szCs w:val="16"/>
        </w:rPr>
        <w:t>(I</w:t>
      </w:r>
      <w:r w:rsidRPr="00C0548A">
        <w:rPr>
          <w:rFonts w:ascii="Verdana" w:hAnsi="Verdana"/>
          <w:color w:val="000000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z w:val="16"/>
          <w:szCs w:val="16"/>
        </w:rPr>
        <w:t xml:space="preserve">=63%), </w:t>
      </w:r>
      <w:r>
        <w:rPr>
          <w:rFonts w:ascii="Verdana" w:hAnsi="Verdana"/>
          <w:color w:val="000000"/>
          <w:sz w:val="16"/>
          <w:szCs w:val="16"/>
        </w:rPr>
        <w:t>点推定値は同じ方向のため重要性は疑問であることから、グレードダウンとはしない</w:t>
      </w:r>
    </w:p>
    <w:p w:rsidR="00124314" w:rsidRDefault="00E27D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かなりの異質性があるが</w:t>
      </w:r>
      <w:r>
        <w:rPr>
          <w:rFonts w:ascii="Verdana" w:hAnsi="Verdana"/>
          <w:color w:val="000000"/>
          <w:sz w:val="16"/>
          <w:szCs w:val="16"/>
        </w:rPr>
        <w:t>(I</w:t>
      </w:r>
      <w:r w:rsidRPr="00C0548A">
        <w:rPr>
          <w:rFonts w:ascii="Verdana" w:hAnsi="Verdana"/>
          <w:color w:val="000000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z w:val="16"/>
          <w:szCs w:val="16"/>
        </w:rPr>
        <w:t xml:space="preserve">=73%), </w:t>
      </w:r>
      <w:r>
        <w:rPr>
          <w:rFonts w:ascii="Verdana" w:hAnsi="Verdana"/>
          <w:color w:val="000000"/>
          <w:sz w:val="16"/>
          <w:szCs w:val="16"/>
        </w:rPr>
        <w:t>点推定値は同じ方向のため重要性は疑問であることから、グレードダウンとはしない</w:t>
      </w:r>
    </w:p>
    <w:p w:rsidR="00124314" w:rsidRDefault="00E27D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サンプルサイズは、連続アウトカムの</w:t>
      </w:r>
      <w:r>
        <w:rPr>
          <w:rFonts w:ascii="Verdana" w:hAnsi="Verdana"/>
          <w:color w:val="000000"/>
          <w:sz w:val="16"/>
          <w:szCs w:val="16"/>
        </w:rPr>
        <w:t>OIS</w:t>
      </w:r>
      <w:r>
        <w:rPr>
          <w:rFonts w:ascii="Verdana" w:hAnsi="Verdana"/>
          <w:color w:val="000000"/>
          <w:sz w:val="16"/>
          <w:szCs w:val="16"/>
        </w:rPr>
        <w:t>基準を満たしていない（</w:t>
      </w:r>
      <w:r>
        <w:rPr>
          <w:rFonts w:ascii="Verdana" w:hAnsi="Verdana"/>
          <w:color w:val="000000"/>
          <w:sz w:val="16"/>
          <w:szCs w:val="16"/>
        </w:rPr>
        <w:t>Δ=0.2ES</w:t>
      </w:r>
      <w:r>
        <w:rPr>
          <w:rFonts w:ascii="Verdana" w:hAnsi="Verdana"/>
          <w:color w:val="000000"/>
          <w:sz w:val="16"/>
          <w:szCs w:val="16"/>
        </w:rPr>
        <w:t>）</w:t>
      </w:r>
    </w:p>
    <w:p w:rsidR="00124314" w:rsidRDefault="00E27D0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SMD: -0.45(-0.79</w:t>
      </w:r>
      <w:r w:rsidR="00C0548A">
        <w:rPr>
          <w:rFonts w:ascii="Verdana" w:hAnsi="Verdana" w:hint="eastAsia"/>
          <w:color w:val="000000"/>
          <w:sz w:val="16"/>
          <w:szCs w:val="16"/>
        </w:rPr>
        <w:t>～</w:t>
      </w:r>
      <w:bookmarkStart w:id="0" w:name="_GoBack"/>
      <w:bookmarkEnd w:id="0"/>
      <w:r>
        <w:rPr>
          <w:rFonts w:ascii="Verdana" w:hAnsi="Verdana"/>
          <w:color w:val="000000"/>
          <w:sz w:val="16"/>
          <w:szCs w:val="16"/>
        </w:rPr>
        <w:t>-0.12)</w:t>
      </w:r>
    </w:p>
    <w:sectPr w:rsidR="0012431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384C"/>
    <w:multiLevelType w:val="multilevel"/>
    <w:tmpl w:val="F9E2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E8"/>
    <w:rsid w:val="00124314"/>
    <w:rsid w:val="00C0548A"/>
    <w:rsid w:val="00E27D0B"/>
    <w:rsid w:val="00E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abel">
    <w:name w:val="label"/>
    <w:basedOn w:val="a0"/>
  </w:style>
  <w:style w:type="character" w:customStyle="1" w:styleId="quality-sign">
    <w:name w:val="quality-sign"/>
    <w:basedOn w:val="a0"/>
  </w:style>
  <w:style w:type="character" w:customStyle="1" w:styleId="cell">
    <w:name w:val="cell"/>
    <w:basedOn w:val="a0"/>
  </w:style>
  <w:style w:type="character" w:customStyle="1" w:styleId="block">
    <w:name w:val="block"/>
    <w:basedOn w:val="a0"/>
  </w:style>
  <w:style w:type="character" w:customStyle="1" w:styleId="cell-value">
    <w:name w:val="cell-value"/>
    <w:basedOn w:val="a0"/>
  </w:style>
  <w:style w:type="character" w:customStyle="1" w:styleId="comma">
    <w:name w:val="comma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abel">
    <w:name w:val="label"/>
    <w:basedOn w:val="a0"/>
  </w:style>
  <w:style w:type="character" w:customStyle="1" w:styleId="quality-sign">
    <w:name w:val="quality-sign"/>
    <w:basedOn w:val="a0"/>
  </w:style>
  <w:style w:type="character" w:customStyle="1" w:styleId="cell">
    <w:name w:val="cell"/>
    <w:basedOn w:val="a0"/>
  </w:style>
  <w:style w:type="character" w:customStyle="1" w:styleId="block">
    <w:name w:val="block"/>
    <w:basedOn w:val="a0"/>
  </w:style>
  <w:style w:type="character" w:customStyle="1" w:styleId="cell-value">
    <w:name w:val="cell-value"/>
    <w:basedOn w:val="a0"/>
  </w:style>
  <w:style w:type="character" w:customStyle="1" w:styleId="comma">
    <w:name w:val="comm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aihara</dc:creator>
  <cp:lastModifiedBy>aihara</cp:lastModifiedBy>
  <cp:revision>3</cp:revision>
  <dcterms:created xsi:type="dcterms:W3CDTF">2016-09-14T00:00:00Z</dcterms:created>
  <dcterms:modified xsi:type="dcterms:W3CDTF">2016-09-19T23:57:00Z</dcterms:modified>
</cp:coreProperties>
</file>